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6FD" w14:textId="77777777" w:rsidR="000C6A29" w:rsidRPr="000C6A29" w:rsidRDefault="000C6A29" w:rsidP="000C6A29">
      <w:pPr>
        <w:shd w:val="clear" w:color="auto" w:fill="FFFFFF"/>
        <w:jc w:val="center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b/>
          <w:bCs/>
          <w:color w:val="333333"/>
          <w:sz w:val="60"/>
          <w:szCs w:val="60"/>
        </w:rPr>
        <w:t>RESOLUTION</w:t>
      </w:r>
    </w:p>
    <w:p w14:paraId="2DF9040A" w14:textId="02868298" w:rsidR="000C6A29" w:rsidRPr="000C6A29" w:rsidRDefault="000C6A29" w:rsidP="000C6A29">
      <w:pPr>
        <w:shd w:val="clear" w:color="auto" w:fill="FFFFFF"/>
        <w:spacing w:before="100" w:beforeAutospacing="1" w:after="100" w:afterAutospacing="1"/>
        <w:ind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Calling on Congress, schools, and State and local educational agencies to recognize the significant educational implications of dyslexia that must be addressed, and designating October 20</w:t>
      </w:r>
      <w:r>
        <w:rPr>
          <w:rFonts w:ascii="Times" w:eastAsia="Times New Roman" w:hAnsi="Times" w:cs="Times New Roman"/>
          <w:color w:val="333333"/>
        </w:rPr>
        <w:t>2</w:t>
      </w:r>
      <w:r w:rsidR="009D0E1B">
        <w:rPr>
          <w:rFonts w:ascii="Times" w:eastAsia="Times New Roman" w:hAnsi="Times" w:cs="Times New Roman"/>
          <w:color w:val="333333"/>
        </w:rPr>
        <w:t>2</w:t>
      </w:r>
      <w:r w:rsidRPr="000C6A29">
        <w:rPr>
          <w:rFonts w:ascii="Times" w:eastAsia="Times New Roman" w:hAnsi="Times" w:cs="Times New Roman"/>
          <w:color w:val="333333"/>
        </w:rPr>
        <w:t xml:space="preserve"> as “National Dyslexia Awareness Month”.</w:t>
      </w:r>
    </w:p>
    <w:p w14:paraId="451CBC17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 dyslexia is—</w:t>
      </w:r>
    </w:p>
    <w:p w14:paraId="7A688AA1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firstLine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(1) defined as an unexpected difficulty in reading for an individual who has the intelligence to be a much better reader; and</w:t>
      </w:r>
    </w:p>
    <w:p w14:paraId="179B3F3F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firstLine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(2) most commonly caused by a difficulty in phonological processing (the appreciation of the individual sounds of spoken language), which affects the ability of an individual to speak, read, spell, and, often, the ability to learn a second language;</w:t>
      </w:r>
    </w:p>
    <w:p w14:paraId="39D617FF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Whereas, the First Step Act of 2018 (</w:t>
      </w:r>
      <w:hyperlink r:id="rId4" w:history="1">
        <w:r w:rsidRPr="000C6A29">
          <w:rPr>
            <w:rFonts w:ascii="Times" w:eastAsia="Times New Roman" w:hAnsi="Times" w:cs="Times New Roman"/>
            <w:color w:val="3366CC"/>
            <w:u w:val="single"/>
          </w:rPr>
          <w:t>Public Law 115–391</w:t>
        </w:r>
      </w:hyperlink>
      <w:r w:rsidRPr="000C6A29">
        <w:rPr>
          <w:rFonts w:ascii="Times" w:eastAsia="Times New Roman" w:hAnsi="Times" w:cs="Times New Roman"/>
          <w:color w:val="333333"/>
        </w:rPr>
        <w:t>; 132 Stat. 5194) included a definition of dyslexia as part of the requirement of the Act to screen inmates for dyslexia upon intake in Federal prisons;</w:t>
      </w:r>
    </w:p>
    <w:p w14:paraId="65636FBF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 the definition of dyslexia in section 3635 of title 18, United States Code, as added by section 101(a) of the First Step Act of 2018 (</w:t>
      </w:r>
      <w:hyperlink r:id="rId5" w:history="1">
        <w:r w:rsidRPr="000C6A29">
          <w:rPr>
            <w:rFonts w:ascii="Times" w:eastAsia="Times New Roman" w:hAnsi="Times" w:cs="Times New Roman"/>
            <w:color w:val="3366CC"/>
            <w:u w:val="single"/>
          </w:rPr>
          <w:t>Public Law 115–391</w:t>
        </w:r>
      </w:hyperlink>
      <w:r w:rsidRPr="000C6A29">
        <w:rPr>
          <w:rFonts w:ascii="Times" w:eastAsia="Times New Roman" w:hAnsi="Times" w:cs="Times New Roman"/>
          <w:color w:val="333333"/>
        </w:rPr>
        <w:t>; 132 Stat. 5195), is the first and only definition of dyslexia in a Federal statute;</w:t>
      </w:r>
    </w:p>
    <w:p w14:paraId="32C2D19F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 dyslexia is the most common learning disability and affects 80 to 90 percent of all individuals with a learning disability;</w:t>
      </w:r>
    </w:p>
    <w:p w14:paraId="76F0956D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 dyslexia is persistent and highly prevalent, affecting as many as 1 out of every 5 individuals;</w:t>
      </w:r>
    </w:p>
    <w:p w14:paraId="06A1808B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 dyslexia is a paradox, in that an individual with dyslexia may have both—</w:t>
      </w:r>
    </w:p>
    <w:p w14:paraId="7CCD1767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firstLine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(1) weaknesses in decoding that result in difficulties in accurate or fluent word recognition; and</w:t>
      </w:r>
    </w:p>
    <w:p w14:paraId="6307D27C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firstLine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(2) strengths in higher-level cognitive functions, such as reasoning, critical thinking, concept formation, and problem solving;</w:t>
      </w:r>
    </w:p>
    <w:p w14:paraId="3E22D9DB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 great progress has been made in understanding dyslexia on a scientific level, including the epidemiology and cognitive and neurobiological bases of dyslexia;</w:t>
      </w:r>
    </w:p>
    <w:p w14:paraId="5A0C753B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Whereas the achievement gap between typical readers and dyslexic readers occurs as early as first grade; and</w:t>
      </w:r>
    </w:p>
    <w:p w14:paraId="2AFA4DFF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left="720" w:hanging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 xml:space="preserve">Whereas early screening for, and early diagnosis of, dyslexia are critical for ensuring that individuals with dyslexia receive focused, evidence-based intervention that leads to fluent </w:t>
      </w:r>
      <w:r w:rsidRPr="000C6A29">
        <w:rPr>
          <w:rFonts w:ascii="Times" w:eastAsia="Times New Roman" w:hAnsi="Times" w:cs="Times New Roman"/>
          <w:color w:val="333333"/>
        </w:rPr>
        <w:lastRenderedPageBreak/>
        <w:t>reading, the promotion of self-awareness and self-empowerment, and the provision of necessary accommodations that ensure success in school and in life: Now, therefore, be it</w:t>
      </w:r>
    </w:p>
    <w:p w14:paraId="5F8F0940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firstLine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i/>
          <w:iCs/>
          <w:color w:val="333333"/>
        </w:rPr>
        <w:t>Resolved, </w:t>
      </w:r>
      <w:r w:rsidRPr="000C6A29">
        <w:rPr>
          <w:rFonts w:ascii="Times" w:eastAsia="Times New Roman" w:hAnsi="Times" w:cs="Times New Roman"/>
          <w:color w:val="333333"/>
        </w:rPr>
        <w:t>That the Senate—</w:t>
      </w:r>
    </w:p>
    <w:p w14:paraId="0D62BF62" w14:textId="77777777" w:rsidR="000C6A29" w:rsidRPr="000C6A29" w:rsidRDefault="000C6A29" w:rsidP="000C6A29">
      <w:pPr>
        <w:shd w:val="clear" w:color="auto" w:fill="FFFFFF"/>
        <w:spacing w:before="100" w:beforeAutospacing="1" w:after="100" w:afterAutospacing="1"/>
        <w:ind w:firstLine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(1) calls on Congress, schools, and State and local educational agencies to recognize that dyslexia has significant educational implications that must be addressed; and</w:t>
      </w:r>
    </w:p>
    <w:p w14:paraId="2054D1FE" w14:textId="754A1867" w:rsidR="000C6A29" w:rsidRPr="000C6A29" w:rsidRDefault="000C6A29" w:rsidP="000C6A29">
      <w:pPr>
        <w:shd w:val="clear" w:color="auto" w:fill="FFFFFF"/>
        <w:spacing w:before="100" w:beforeAutospacing="1" w:after="100" w:afterAutospacing="1"/>
        <w:ind w:firstLine="480"/>
        <w:rPr>
          <w:rFonts w:ascii="Times" w:eastAsia="Times New Roman" w:hAnsi="Times" w:cs="Times New Roman"/>
          <w:color w:val="333333"/>
        </w:rPr>
      </w:pPr>
      <w:r w:rsidRPr="000C6A29">
        <w:rPr>
          <w:rFonts w:ascii="Times" w:eastAsia="Times New Roman" w:hAnsi="Times" w:cs="Times New Roman"/>
          <w:color w:val="333333"/>
        </w:rPr>
        <w:t>(2) designates October 20</w:t>
      </w:r>
      <w:r>
        <w:rPr>
          <w:rFonts w:ascii="Times" w:eastAsia="Times New Roman" w:hAnsi="Times" w:cs="Times New Roman"/>
          <w:color w:val="333333"/>
        </w:rPr>
        <w:t>2</w:t>
      </w:r>
      <w:r w:rsidR="006C7147">
        <w:rPr>
          <w:rFonts w:ascii="Times" w:eastAsia="Times New Roman" w:hAnsi="Times" w:cs="Times New Roman"/>
          <w:color w:val="333333"/>
        </w:rPr>
        <w:t>2</w:t>
      </w:r>
      <w:r w:rsidRPr="000C6A29">
        <w:rPr>
          <w:rFonts w:ascii="Times" w:eastAsia="Times New Roman" w:hAnsi="Times" w:cs="Times New Roman"/>
          <w:color w:val="333333"/>
        </w:rPr>
        <w:t xml:space="preserve"> as “National Dyslexia Awareness Month”.</w:t>
      </w:r>
    </w:p>
    <w:p w14:paraId="7108CA5F" w14:textId="77777777" w:rsidR="00853DFD" w:rsidRDefault="00853DFD"/>
    <w:sectPr w:rsidR="0085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29"/>
    <w:rsid w:val="000C6A29"/>
    <w:rsid w:val="001961A9"/>
    <w:rsid w:val="006C7147"/>
    <w:rsid w:val="00853DFD"/>
    <w:rsid w:val="009D0E1B"/>
    <w:rsid w:val="00A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04223"/>
  <w15:chartTrackingRefBased/>
  <w15:docId w15:val="{78568BBE-D0A3-974C-9083-8C5E815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exlegistype">
    <w:name w:val="lbexlegistype"/>
    <w:basedOn w:val="DefaultParagraphFont"/>
    <w:rsid w:val="000C6A29"/>
  </w:style>
  <w:style w:type="paragraph" w:customStyle="1" w:styleId="lbexhangwithmargin">
    <w:name w:val="lbexhangwithmargin"/>
    <w:basedOn w:val="Normal"/>
    <w:rsid w:val="000C6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bexhang">
    <w:name w:val="lbexhang"/>
    <w:basedOn w:val="Normal"/>
    <w:rsid w:val="000C6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bexindent">
    <w:name w:val="lbexindent"/>
    <w:basedOn w:val="Normal"/>
    <w:rsid w:val="000C6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C6A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C6A29"/>
    <w:rPr>
      <w:i/>
      <w:iCs/>
    </w:rPr>
  </w:style>
  <w:style w:type="paragraph" w:customStyle="1" w:styleId="lbexindentparagraph">
    <w:name w:val="lbexindentparagraph"/>
    <w:basedOn w:val="Normal"/>
    <w:rsid w:val="000C6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po.gov/fdsys/pkg/PLAW-115publ391/pdf/PLAW-115publ391.pdf" TargetMode="External"/><Relationship Id="rId4" Type="http://schemas.openxmlformats.org/officeDocument/2006/relationships/hyperlink" Target="https://www.gpo.gov/fdsys/pkg/PLAW-115publ391/pdf/PLAW-115publ39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Carlton, Tim (Cassidy)</dc:creator>
  <cp:keywords/>
  <dc:description/>
  <cp:lastModifiedBy>Fox, Patrick (Cassidy)</cp:lastModifiedBy>
  <cp:revision>2</cp:revision>
  <dcterms:created xsi:type="dcterms:W3CDTF">2022-09-29T14:47:00Z</dcterms:created>
  <dcterms:modified xsi:type="dcterms:W3CDTF">2022-09-29T14:47:00Z</dcterms:modified>
</cp:coreProperties>
</file>